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Helvetica Neue" w:hAnsi="Helvetica Neue" w:cs="Helvetica Neue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default" w:ascii="Helvetica Neue" w:hAnsi="Helvetica Neue" w:eastAsia="Helvetica Neue" w:cs="Helvetica Neue"/>
          <w:i w:val="0"/>
          <w:caps w:val="0"/>
          <w:color w:val="000000"/>
          <w:spacing w:val="0"/>
          <w:sz w:val="36"/>
          <w:szCs w:val="36"/>
          <w:shd w:val="clear" w:fill="FFFFFF"/>
        </w:rPr>
        <w:t>cctalk</w:t>
      </w:r>
      <w:r>
        <w:rPr>
          <w:rFonts w:hint="eastAsia" w:ascii="Helvetica Neue" w:hAnsi="Helvetica Neue" w:cs="Helvetica Neue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手机客户端听课指南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01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注册账号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在手机应用商店下载CCtalk客户端，点击“注册”，用手机号进行注册。 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或者使用微信直接登录。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点击“我的”页面，进行登录。</w:t>
      </w:r>
    </w:p>
    <w:p>
      <w:pPr>
        <w:jc w:val="left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drawing>
          <wp:inline distT="0" distB="0" distL="114300" distR="114300">
            <wp:extent cx="2350135" cy="2580640"/>
            <wp:effectExtent l="0" t="0" r="12065" b="10160"/>
            <wp:docPr id="1" name="图片 1" descr="285981512772067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859815127720675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drawing>
          <wp:inline distT="0" distB="0" distL="114300" distR="114300">
            <wp:extent cx="2350135" cy="2571115"/>
            <wp:effectExtent l="0" t="0" r="12065" b="635"/>
            <wp:docPr id="3" name="图片 3" descr="285981512772067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859815127720675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02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搜索群号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通过搜索课程或已知群号，找到群。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200275" cy="3048000"/>
            <wp:effectExtent l="0" t="0" r="952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399030" cy="3115310"/>
            <wp:effectExtent l="0" t="0" r="1270" b="8890"/>
            <wp:docPr id="4" name="图片 4" descr="2890119829499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89011982949959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03</w:t>
      </w:r>
      <w:bookmarkStart w:id="0" w:name="_GoBack"/>
      <w:bookmarkEnd w:id="0"/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找到节目单</w:t>
      </w:r>
    </w:p>
    <w:p>
      <w:pPr>
        <w:jc w:val="both"/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进入群中，会看到精彩内容的视频，点击上方栏的第二个键，进入节目单。</w:t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494915" cy="3296285"/>
            <wp:effectExtent l="0" t="0" r="635" b="1841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2323465" cy="3333750"/>
            <wp:effectExtent l="0" t="0" r="63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04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全部课程</w:t>
      </w: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点击第一个键{节目单}，会出现节目单的课程。往右滑动，可以查看下一个课程。</w:t>
      </w:r>
    </w:p>
    <w:p>
      <w:pPr>
        <w:jc w:val="both"/>
      </w:pPr>
      <w:r>
        <w:drawing>
          <wp:inline distT="0" distB="0" distL="114300" distR="114300">
            <wp:extent cx="2447925" cy="3400425"/>
            <wp:effectExtent l="0" t="0" r="9525" b="952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570480" cy="3428365"/>
            <wp:effectExtent l="0" t="0" r="1270" b="63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05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选择视频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浏览到自己需要学习的课程，可以订阅此课程，然后双击，就会出现此课程的全部章节。</w:t>
      </w:r>
    </w:p>
    <w:p>
      <w:pPr>
        <w:jc w:val="both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drawing>
          <wp:inline distT="0" distB="0" distL="114300" distR="114300">
            <wp:extent cx="2457450" cy="2933700"/>
            <wp:effectExtent l="0" t="0" r="0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419350" cy="2953385"/>
            <wp:effectExtent l="0" t="0" r="0" b="1841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06</w:t>
      </w:r>
    </w:p>
    <w:p>
      <w:pPr>
        <w:jc w:val="center"/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E75B6" w:themeColor="accent1" w:themeShade="BF"/>
          <w:sz w:val="30"/>
          <w:szCs w:val="30"/>
          <w:lang w:val="en-US" w:eastAsia="zh-CN"/>
        </w:rPr>
        <w:t>观看视频</w:t>
      </w: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选择好自己需要学习的章节（按从初阶到高阶的顺序排列的），双击点开，就可以观看视频了。</w:t>
      </w:r>
    </w:p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390140" cy="3312795"/>
            <wp:effectExtent l="0" t="0" r="10160" b="190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96FF2"/>
    <w:rsid w:val="16996FF2"/>
    <w:rsid w:val="353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2017-12-20T03:44:00Z</dcterms:created>
  <dc:creator>kds100</dc:creator>
  <cp:lastModifiedBy>kds100</cp:lastModifiedBy>
  <dcterms:modified xsi:type="dcterms:W3CDTF">2017-12-20T09:45:15Z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